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B43" w:rsidRDefault="00141B43" w:rsidP="00FE04BF">
      <w:pPr>
        <w:ind w:firstLine="0"/>
      </w:pPr>
    </w:p>
    <w:p w:rsidR="00141B43" w:rsidRDefault="00141B43"/>
    <w:p w:rsidR="00141B43" w:rsidRDefault="00141B43"/>
    <w:p w:rsidR="00141B43" w:rsidRDefault="00141B43"/>
    <w:p w:rsidR="00141B43" w:rsidRDefault="00141B43"/>
    <w:p w:rsidR="00141B43" w:rsidRDefault="00141B43"/>
    <w:p w:rsidR="00141B43" w:rsidRDefault="00141B43"/>
    <w:p w:rsidR="00141B43" w:rsidRDefault="00141B43"/>
    <w:p w:rsidR="00141B43" w:rsidRDefault="00141B43" w:rsidP="00141B43">
      <w:pPr>
        <w:ind w:firstLine="0"/>
        <w:jc w:val="center"/>
      </w:pPr>
      <w:r>
        <w:t xml:space="preserve">Health Care </w:t>
      </w:r>
      <w:r w:rsidR="00FE04BF">
        <w:t>System in</w:t>
      </w:r>
      <w:r>
        <w:t xml:space="preserve"> Turkey, </w:t>
      </w:r>
      <w:r w:rsidR="00FE04BF">
        <w:t xml:space="preserve">Egypt, and </w:t>
      </w:r>
      <w:r>
        <w:t>Jordan.</w:t>
      </w:r>
    </w:p>
    <w:p w:rsidR="00141B43" w:rsidRDefault="00141B43" w:rsidP="00141B43">
      <w:pPr>
        <w:ind w:firstLine="0"/>
        <w:jc w:val="center"/>
      </w:pPr>
      <w:r>
        <w:t>Student’s Name</w:t>
      </w:r>
    </w:p>
    <w:p w:rsidR="00141B43" w:rsidRDefault="00141B43" w:rsidP="00141B43">
      <w:pPr>
        <w:ind w:firstLine="0"/>
        <w:jc w:val="center"/>
      </w:pPr>
      <w:r>
        <w:t>Institutional Affiliation</w:t>
      </w:r>
      <w:r>
        <w:br w:type="page"/>
      </w:r>
    </w:p>
    <w:p w:rsidR="00141B43" w:rsidRDefault="00141B43" w:rsidP="00141B43">
      <w:pPr>
        <w:ind w:firstLine="0"/>
        <w:jc w:val="center"/>
      </w:pPr>
      <w:r>
        <w:lastRenderedPageBreak/>
        <w:t>Health Care System in Turkey, Egypt, and Jordan</w:t>
      </w:r>
    </w:p>
    <w:p w:rsidR="00125278" w:rsidRDefault="00474B9F">
      <w:r>
        <w:t xml:space="preserve">The health care system of Turkey uses a centralized structure but it suffers in many aspects from complexity and fragmentation in the relationship and responsibilities of its components part. The main providers of healthcare are private, public and semi-public organizations but the coordination amongst the three sectors is limited. </w:t>
      </w:r>
      <w:r w:rsidR="007E4046">
        <w:t xml:space="preserve">The responsibility of making health care related policies and implementation of health strategies is under the Ministry of Health (MoH). The ministry of health is also the main provider of maternal health services, primary/secondary/tertiary healthcare/ and children and family planning services. According to data obtained in the year 2006, the ministry of health had 6203 health centers and 795 public hospital. </w:t>
      </w:r>
      <w:r w:rsidR="004A0BBE">
        <w:t>A universal healthcare has been established in Turkey under the Universal Health Insurance (UHI). Individuals are required to register with the Social Security Institution (SGK) to access free medical care in SGK contracted hospitals. SGK covers several medical treatments which include childbirth, emergencies, infectious diseases, fertility treatment for under 39 years of age women, and medically necessary cosmetic surgery</w:t>
      </w:r>
      <w:r w:rsidR="00FE04BF">
        <w:t xml:space="preserve"> (</w:t>
      </w:r>
      <w:r w:rsidR="00FE04BF" w:rsidRPr="00FE04BF">
        <w:rPr>
          <w:rFonts w:cs="Times New Roman"/>
          <w:color w:val="222222"/>
          <w:szCs w:val="24"/>
          <w:shd w:val="clear" w:color="auto" w:fill="FFFFFF"/>
        </w:rPr>
        <w:t>Atun</w:t>
      </w:r>
      <w:r w:rsidR="00FE04BF">
        <w:rPr>
          <w:rFonts w:cs="Times New Roman"/>
          <w:color w:val="222222"/>
          <w:szCs w:val="24"/>
          <w:shd w:val="clear" w:color="auto" w:fill="FFFFFF"/>
        </w:rPr>
        <w:t xml:space="preserve"> et al., 2013)</w:t>
      </w:r>
      <w:r w:rsidR="004A0BBE">
        <w:t xml:space="preserve">. Patient satisfaction is estimated to be above 80 percent indicating that the quality of services offered is high. </w:t>
      </w:r>
      <w:r>
        <w:t xml:space="preserve">Financing is done by the government through premiums, taxes, and out-pocket payments. </w:t>
      </w:r>
      <w:r w:rsidR="00141B43">
        <w:t xml:space="preserve">The positive aspect of funding is that it has enhance the health care sector while the negative aspect is that some of the funds are embezzled thus cannot be accounted for. </w:t>
      </w:r>
    </w:p>
    <w:p w:rsidR="004A0BBE" w:rsidRDefault="004A0BBE">
      <w:r>
        <w:t xml:space="preserve">Healthcare system in Egypt </w:t>
      </w:r>
      <w:r w:rsidR="00363B8D">
        <w:t xml:space="preserve">comprises of the private and the public sector. The ministry of health provides the public healthcare through a series of free medical facilities located in various parts of the country. Private healthcare on the other had has pharmacies, hospitals, and </w:t>
      </w:r>
      <w:r w:rsidR="007B6129">
        <w:t>clinics where one is required to pay to access services</w:t>
      </w:r>
      <w:r w:rsidR="00FE04BF">
        <w:t xml:space="preserve"> (</w:t>
      </w:r>
      <w:r w:rsidR="00FE04BF" w:rsidRPr="00FE04BF">
        <w:rPr>
          <w:rFonts w:cs="Times New Roman"/>
          <w:color w:val="222222"/>
          <w:szCs w:val="24"/>
          <w:shd w:val="clear" w:color="auto" w:fill="FFFFFF"/>
        </w:rPr>
        <w:t>Zineldin</w:t>
      </w:r>
      <w:r w:rsidR="00FE04BF">
        <w:rPr>
          <w:rFonts w:cs="Times New Roman"/>
          <w:color w:val="222222"/>
          <w:szCs w:val="24"/>
          <w:shd w:val="clear" w:color="auto" w:fill="FFFFFF"/>
        </w:rPr>
        <w:t>, 2006)</w:t>
      </w:r>
      <w:r w:rsidR="007B6129">
        <w:t xml:space="preserve">. The private sector is rated higher in terms of quality of service provision. Most people would therefore prefer getting medication from the private sector unless they lack the capital to facilitate the services. </w:t>
      </w:r>
      <w:r w:rsidR="00363B8D">
        <w:t xml:space="preserve">The government provides covers for all the basic universal health services but those who are financially stable do get services from the private sector. </w:t>
      </w:r>
      <w:r w:rsidR="007B6129">
        <w:t xml:space="preserve">There are four financing agents that funds the healthcare system in Egypt. They are the government, the private sector, private organizations, and individuals and families through out-of-pocket payments. </w:t>
      </w:r>
      <w:r w:rsidR="00141B43">
        <w:t xml:space="preserve">The positive aspect on funding in Egypt that access to health services is quite easy because 95 % of the Egyptians can access health service within 5km distance. The negative aspect is that the health services provided are generally poor thus one might feel a loss for the money paid. </w:t>
      </w:r>
    </w:p>
    <w:p w:rsidR="007B6129" w:rsidRDefault="00493117">
      <w:r>
        <w:t>The healthcare system is Jordan is considered to be one of the most advanced in the world although most services are concentrated in Amman. It is divided into private and public healthcare institutions. In the public sector, operations are run by the Ministry of Health which operates 27 hospitals and 1245 primary health care centers. Funding is facilitated by the government from a program that mandates every employees to contribute specific amount of money to the health sector every month</w:t>
      </w:r>
      <w:r w:rsidR="00FE04BF">
        <w:t xml:space="preserve"> (</w:t>
      </w:r>
      <w:r w:rsidR="00FE04BF" w:rsidRPr="00FE04BF">
        <w:rPr>
          <w:rFonts w:cs="Times New Roman"/>
          <w:color w:val="222222"/>
          <w:szCs w:val="24"/>
          <w:shd w:val="clear" w:color="auto" w:fill="FFFFFF"/>
        </w:rPr>
        <w:t>Nazer</w:t>
      </w:r>
      <w:r w:rsidR="00FE04BF">
        <w:rPr>
          <w:rFonts w:cs="Times New Roman"/>
          <w:color w:val="222222"/>
          <w:szCs w:val="24"/>
          <w:shd w:val="clear" w:color="auto" w:fill="FFFFFF"/>
        </w:rPr>
        <w:t xml:space="preserve"> </w:t>
      </w:r>
      <w:r w:rsidR="00FE04BF" w:rsidRPr="00FE04BF">
        <w:rPr>
          <w:rFonts w:cs="Times New Roman"/>
          <w:color w:val="222222"/>
          <w:szCs w:val="24"/>
          <w:shd w:val="clear" w:color="auto" w:fill="FFFFFF"/>
        </w:rPr>
        <w:t>&amp; Tuffaha</w:t>
      </w:r>
      <w:r w:rsidR="00FE04BF">
        <w:rPr>
          <w:rFonts w:cs="Times New Roman"/>
          <w:color w:val="222222"/>
          <w:szCs w:val="24"/>
          <w:shd w:val="clear" w:color="auto" w:fill="FFFFFF"/>
        </w:rPr>
        <w:t>, 2017)</w:t>
      </w:r>
      <w:r>
        <w:t xml:space="preserve">. The deduction is done by the government which in turn grants access to free or subsidized health services. The positive aspect of both the private and public funding in Jordan is that every person under the social security is guaranteed of quality services since the healthcare system is quite advanced. On the other hand, the negative aspect is that </w:t>
      </w:r>
      <w:r w:rsidR="00141B43">
        <w:t xml:space="preserve">it feels like a loss for those who rarely fall sick yet they have been contributing for the social security year after another. </w:t>
      </w:r>
    </w:p>
    <w:p w:rsidR="00664D5F" w:rsidRDefault="00664D5F">
      <w:r>
        <w:br w:type="page"/>
      </w:r>
    </w:p>
    <w:p w:rsidR="004A0BBE" w:rsidRDefault="00FE04BF" w:rsidP="00FE04BF">
      <w:pPr>
        <w:ind w:firstLine="0"/>
        <w:jc w:val="center"/>
      </w:pPr>
      <w:bookmarkStart w:id="0" w:name="_GoBack"/>
      <w:bookmarkEnd w:id="0"/>
      <w:r>
        <w:t>References</w:t>
      </w:r>
    </w:p>
    <w:p w:rsidR="00FE04BF" w:rsidRPr="00FE04BF" w:rsidRDefault="00FE04BF" w:rsidP="00FE04BF">
      <w:pPr>
        <w:ind w:left="720" w:hanging="720"/>
        <w:rPr>
          <w:rFonts w:cs="Times New Roman"/>
          <w:color w:val="222222"/>
          <w:szCs w:val="24"/>
          <w:shd w:val="clear" w:color="auto" w:fill="FFFFFF"/>
        </w:rPr>
      </w:pPr>
      <w:r w:rsidRPr="00FE04BF">
        <w:rPr>
          <w:rFonts w:cs="Times New Roman"/>
          <w:color w:val="222222"/>
          <w:szCs w:val="24"/>
          <w:shd w:val="clear" w:color="auto" w:fill="FFFFFF"/>
        </w:rPr>
        <w:t>Atun, R., Aydın, S., Chakraborty, S., Sümer, S., Aran, M., Gürol, I., ... &amp; Dilmen, U. (2013). Universal health coverage in Turkey: enhancement of equity. </w:t>
      </w:r>
      <w:r w:rsidRPr="00FE04BF">
        <w:rPr>
          <w:rFonts w:cs="Times New Roman"/>
          <w:i/>
          <w:iCs/>
          <w:color w:val="222222"/>
          <w:szCs w:val="24"/>
          <w:shd w:val="clear" w:color="auto" w:fill="FFFFFF"/>
        </w:rPr>
        <w:t>The Lancet</w:t>
      </w:r>
      <w:r w:rsidRPr="00FE04BF">
        <w:rPr>
          <w:rFonts w:cs="Times New Roman"/>
          <w:color w:val="222222"/>
          <w:szCs w:val="24"/>
          <w:shd w:val="clear" w:color="auto" w:fill="FFFFFF"/>
        </w:rPr>
        <w:t>, </w:t>
      </w:r>
      <w:r w:rsidRPr="00FE04BF">
        <w:rPr>
          <w:rFonts w:cs="Times New Roman"/>
          <w:i/>
          <w:iCs/>
          <w:color w:val="222222"/>
          <w:szCs w:val="24"/>
          <w:shd w:val="clear" w:color="auto" w:fill="FFFFFF"/>
        </w:rPr>
        <w:t>382</w:t>
      </w:r>
      <w:r w:rsidRPr="00FE04BF">
        <w:rPr>
          <w:rFonts w:cs="Times New Roman"/>
          <w:color w:val="222222"/>
          <w:szCs w:val="24"/>
          <w:shd w:val="clear" w:color="auto" w:fill="FFFFFF"/>
        </w:rPr>
        <w:t>(9886), 65-99.</w:t>
      </w:r>
    </w:p>
    <w:p w:rsidR="00FE04BF" w:rsidRPr="00FE04BF" w:rsidRDefault="00FE04BF" w:rsidP="00FE04BF">
      <w:pPr>
        <w:ind w:left="720" w:hanging="720"/>
        <w:rPr>
          <w:rFonts w:cs="Times New Roman"/>
          <w:color w:val="222222"/>
          <w:szCs w:val="24"/>
          <w:shd w:val="clear" w:color="auto" w:fill="FFFFFF"/>
        </w:rPr>
      </w:pPr>
      <w:r w:rsidRPr="00FE04BF">
        <w:rPr>
          <w:rFonts w:cs="Times New Roman"/>
          <w:color w:val="222222"/>
          <w:szCs w:val="24"/>
          <w:shd w:val="clear" w:color="auto" w:fill="FFFFFF"/>
        </w:rPr>
        <w:t>Nazer, L. H., &amp; Tuffaha, H. (2017). Health care and pharmacy practice in Jordan. </w:t>
      </w:r>
      <w:r w:rsidRPr="00FE04BF">
        <w:rPr>
          <w:rFonts w:cs="Times New Roman"/>
          <w:i/>
          <w:iCs/>
          <w:color w:val="222222"/>
          <w:szCs w:val="24"/>
          <w:shd w:val="clear" w:color="auto" w:fill="FFFFFF"/>
        </w:rPr>
        <w:t>The Canadian journal of hospital pharmacy</w:t>
      </w:r>
      <w:r w:rsidRPr="00FE04BF">
        <w:rPr>
          <w:rFonts w:cs="Times New Roman"/>
          <w:color w:val="222222"/>
          <w:szCs w:val="24"/>
          <w:shd w:val="clear" w:color="auto" w:fill="FFFFFF"/>
        </w:rPr>
        <w:t>, </w:t>
      </w:r>
      <w:r w:rsidRPr="00FE04BF">
        <w:rPr>
          <w:rFonts w:cs="Times New Roman"/>
          <w:i/>
          <w:iCs/>
          <w:color w:val="222222"/>
          <w:szCs w:val="24"/>
          <w:shd w:val="clear" w:color="auto" w:fill="FFFFFF"/>
        </w:rPr>
        <w:t>70</w:t>
      </w:r>
      <w:r w:rsidRPr="00FE04BF">
        <w:rPr>
          <w:rFonts w:cs="Times New Roman"/>
          <w:color w:val="222222"/>
          <w:szCs w:val="24"/>
          <w:shd w:val="clear" w:color="auto" w:fill="FFFFFF"/>
        </w:rPr>
        <w:t>(2), 150.</w:t>
      </w:r>
    </w:p>
    <w:p w:rsidR="00FE04BF" w:rsidRPr="00FE04BF" w:rsidRDefault="00FE04BF" w:rsidP="00FE04BF">
      <w:pPr>
        <w:ind w:left="720" w:hanging="720"/>
        <w:rPr>
          <w:rFonts w:cs="Times New Roman"/>
          <w:color w:val="222222"/>
          <w:szCs w:val="24"/>
          <w:shd w:val="clear" w:color="auto" w:fill="FFFFFF"/>
        </w:rPr>
      </w:pPr>
      <w:r w:rsidRPr="00FE04BF">
        <w:rPr>
          <w:rFonts w:cs="Times New Roman"/>
          <w:color w:val="222222"/>
          <w:szCs w:val="24"/>
          <w:shd w:val="clear" w:color="auto" w:fill="FFFFFF"/>
        </w:rPr>
        <w:t>Zineldin, M. (2006). The quality of health care and patient satisfaction. </w:t>
      </w:r>
      <w:r w:rsidRPr="00FE04BF">
        <w:rPr>
          <w:rFonts w:cs="Times New Roman"/>
          <w:i/>
          <w:iCs/>
          <w:color w:val="222222"/>
          <w:szCs w:val="24"/>
          <w:shd w:val="clear" w:color="auto" w:fill="FFFFFF"/>
        </w:rPr>
        <w:t>International journal of health care quality assurance</w:t>
      </w:r>
      <w:r w:rsidRPr="00FE04BF">
        <w:rPr>
          <w:rFonts w:cs="Times New Roman"/>
          <w:color w:val="222222"/>
          <w:szCs w:val="24"/>
          <w:shd w:val="clear" w:color="auto" w:fill="FFFFFF"/>
        </w:rPr>
        <w:t>.</w:t>
      </w:r>
    </w:p>
    <w:p w:rsidR="00FE04BF" w:rsidRPr="00FE04BF" w:rsidRDefault="00FE04BF" w:rsidP="00FE04BF">
      <w:pPr>
        <w:ind w:firstLine="0"/>
        <w:rPr>
          <w:rFonts w:ascii="Arial" w:hAnsi="Arial" w:cs="Arial"/>
          <w:color w:val="222222"/>
          <w:sz w:val="20"/>
          <w:szCs w:val="20"/>
          <w:shd w:val="clear" w:color="auto" w:fill="FFFFFF"/>
        </w:rPr>
      </w:pPr>
    </w:p>
    <w:sectPr w:rsidR="00FE04BF" w:rsidRPr="00FE04BF" w:rsidSect="00FE04B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DCC" w:rsidRDefault="005E6DCC" w:rsidP="00FE04BF">
      <w:pPr>
        <w:spacing w:line="240" w:lineRule="auto"/>
      </w:pPr>
      <w:r>
        <w:separator/>
      </w:r>
    </w:p>
  </w:endnote>
  <w:endnote w:type="continuationSeparator" w:id="0">
    <w:p w:rsidR="005E6DCC" w:rsidRDefault="005E6DCC" w:rsidP="00FE04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DCC" w:rsidRDefault="005E6DCC" w:rsidP="00FE04BF">
      <w:pPr>
        <w:spacing w:line="240" w:lineRule="auto"/>
      </w:pPr>
      <w:r>
        <w:separator/>
      </w:r>
    </w:p>
  </w:footnote>
  <w:footnote w:type="continuationSeparator" w:id="0">
    <w:p w:rsidR="005E6DCC" w:rsidRDefault="005E6DCC" w:rsidP="00FE04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060824"/>
      <w:docPartObj>
        <w:docPartGallery w:val="Page Numbers (Top of Page)"/>
        <w:docPartUnique/>
      </w:docPartObj>
    </w:sdtPr>
    <w:sdtEndPr>
      <w:rPr>
        <w:noProof/>
      </w:rPr>
    </w:sdtEndPr>
    <w:sdtContent>
      <w:p w:rsidR="00FE04BF" w:rsidRDefault="00FE04BF" w:rsidP="00FE04BF">
        <w:pPr>
          <w:pStyle w:val="Header"/>
          <w:ind w:firstLine="0"/>
        </w:pPr>
        <w:r>
          <w:t>HEALTH CARE SYSTEM IN TURKEY, EGYPT, AND JORDAN</w:t>
        </w:r>
        <w:r>
          <w:tab/>
        </w:r>
        <w:r>
          <w:fldChar w:fldCharType="begin"/>
        </w:r>
        <w:r>
          <w:instrText xml:space="preserve"> PAGE   \* MERGEFORMAT </w:instrText>
        </w:r>
        <w:r>
          <w:fldChar w:fldCharType="separate"/>
        </w:r>
        <w:r w:rsidR="00664D5F">
          <w:rPr>
            <w:noProof/>
          </w:rPr>
          <w:t>4</w:t>
        </w:r>
        <w:r>
          <w:rPr>
            <w:noProof/>
          </w:rPr>
          <w:fldChar w:fldCharType="end"/>
        </w:r>
      </w:p>
    </w:sdtContent>
  </w:sdt>
  <w:p w:rsidR="00FE04BF" w:rsidRDefault="00FE04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991826"/>
      <w:docPartObj>
        <w:docPartGallery w:val="Page Numbers (Top of Page)"/>
        <w:docPartUnique/>
      </w:docPartObj>
    </w:sdtPr>
    <w:sdtEndPr>
      <w:rPr>
        <w:noProof/>
      </w:rPr>
    </w:sdtEndPr>
    <w:sdtContent>
      <w:p w:rsidR="00FE04BF" w:rsidRDefault="00FE04BF" w:rsidP="00FE04BF">
        <w:pPr>
          <w:pStyle w:val="Header"/>
          <w:ind w:firstLine="0"/>
        </w:pPr>
        <w:r>
          <w:t>Running head: HEALTH CARE SYSTEM IN TURKEY, EGYPT, AND JORDAN</w:t>
        </w:r>
        <w:r>
          <w:tab/>
        </w:r>
        <w:r>
          <w:fldChar w:fldCharType="begin"/>
        </w:r>
        <w:r>
          <w:instrText xml:space="preserve"> PAGE   \* MERGEFORMAT </w:instrText>
        </w:r>
        <w:r>
          <w:fldChar w:fldCharType="separate"/>
        </w:r>
        <w:r w:rsidR="005E6DCC">
          <w:rPr>
            <w:noProof/>
          </w:rPr>
          <w:t>1</w:t>
        </w:r>
        <w:r>
          <w:rPr>
            <w:noProof/>
          </w:rPr>
          <w:fldChar w:fldCharType="end"/>
        </w:r>
      </w:p>
    </w:sdtContent>
  </w:sdt>
  <w:p w:rsidR="00FE04BF" w:rsidRDefault="00FE0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1szQ0NjYxMjYzNjJT0lEKTi0uzszPAykwrAUAcJ6JOSwAAAA="/>
  </w:docVars>
  <w:rsids>
    <w:rsidRoot w:val="00F40D5A"/>
    <w:rsid w:val="00125278"/>
    <w:rsid w:val="00141B43"/>
    <w:rsid w:val="00363B8D"/>
    <w:rsid w:val="00474B9F"/>
    <w:rsid w:val="00493117"/>
    <w:rsid w:val="004A0BBE"/>
    <w:rsid w:val="005E6DCC"/>
    <w:rsid w:val="00664D5F"/>
    <w:rsid w:val="007B6129"/>
    <w:rsid w:val="007E4046"/>
    <w:rsid w:val="009C7976"/>
    <w:rsid w:val="00F40D5A"/>
    <w:rsid w:val="00FE0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4BF"/>
    <w:pPr>
      <w:tabs>
        <w:tab w:val="center" w:pos="4680"/>
        <w:tab w:val="right" w:pos="9360"/>
      </w:tabs>
      <w:spacing w:line="240" w:lineRule="auto"/>
    </w:pPr>
  </w:style>
  <w:style w:type="character" w:customStyle="1" w:styleId="HeaderChar">
    <w:name w:val="Header Char"/>
    <w:basedOn w:val="DefaultParagraphFont"/>
    <w:link w:val="Header"/>
    <w:uiPriority w:val="99"/>
    <w:rsid w:val="00FE04BF"/>
  </w:style>
  <w:style w:type="paragraph" w:styleId="Footer">
    <w:name w:val="footer"/>
    <w:basedOn w:val="Normal"/>
    <w:link w:val="FooterChar"/>
    <w:uiPriority w:val="99"/>
    <w:unhideWhenUsed/>
    <w:rsid w:val="00FE04BF"/>
    <w:pPr>
      <w:tabs>
        <w:tab w:val="center" w:pos="4680"/>
        <w:tab w:val="right" w:pos="9360"/>
      </w:tabs>
      <w:spacing w:line="240" w:lineRule="auto"/>
    </w:pPr>
  </w:style>
  <w:style w:type="character" w:customStyle="1" w:styleId="FooterChar">
    <w:name w:val="Footer Char"/>
    <w:basedOn w:val="DefaultParagraphFont"/>
    <w:link w:val="Footer"/>
    <w:uiPriority w:val="99"/>
    <w:rsid w:val="00FE04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4BF"/>
    <w:pPr>
      <w:tabs>
        <w:tab w:val="center" w:pos="4680"/>
        <w:tab w:val="right" w:pos="9360"/>
      </w:tabs>
      <w:spacing w:line="240" w:lineRule="auto"/>
    </w:pPr>
  </w:style>
  <w:style w:type="character" w:customStyle="1" w:styleId="HeaderChar">
    <w:name w:val="Header Char"/>
    <w:basedOn w:val="DefaultParagraphFont"/>
    <w:link w:val="Header"/>
    <w:uiPriority w:val="99"/>
    <w:rsid w:val="00FE04BF"/>
  </w:style>
  <w:style w:type="paragraph" w:styleId="Footer">
    <w:name w:val="footer"/>
    <w:basedOn w:val="Normal"/>
    <w:link w:val="FooterChar"/>
    <w:uiPriority w:val="99"/>
    <w:unhideWhenUsed/>
    <w:rsid w:val="00FE04BF"/>
    <w:pPr>
      <w:tabs>
        <w:tab w:val="center" w:pos="4680"/>
        <w:tab w:val="right" w:pos="9360"/>
      </w:tabs>
      <w:spacing w:line="240" w:lineRule="auto"/>
    </w:pPr>
  </w:style>
  <w:style w:type="character" w:customStyle="1" w:styleId="FooterChar">
    <w:name w:val="Footer Char"/>
    <w:basedOn w:val="DefaultParagraphFont"/>
    <w:link w:val="Footer"/>
    <w:uiPriority w:val="99"/>
    <w:rsid w:val="00FE0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2020-11-23T05:40:00Z</dcterms:created>
  <dcterms:modified xsi:type="dcterms:W3CDTF">2020-11-23T05:40:00Z</dcterms:modified>
</cp:coreProperties>
</file>